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A6A4635" w14:textId="77777777" w:rsidTr="0041512A">
        <w:tc>
          <w:tcPr>
            <w:tcW w:w="2263" w:type="dxa"/>
          </w:tcPr>
          <w:p w14:paraId="5E80D03D" w14:textId="7FD5B364" w:rsidR="0041512A" w:rsidRDefault="00386898" w:rsidP="0041512A">
            <w:pPr>
              <w:spacing w:before="120" w:after="120"/>
            </w:pPr>
            <w:hyperlink r:id="rId5" w:history="1">
              <w:r w:rsidR="00112DB0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1F5D2771" w14:textId="77777777" w:rsidR="008778D6" w:rsidRDefault="00697CB5" w:rsidP="0041512A">
            <w:pPr>
              <w:jc w:val="center"/>
              <w:rPr>
                <w:b/>
                <w:color w:val="006600"/>
                <w:sz w:val="40"/>
                <w:szCs w:val="40"/>
                <w:u w:val="none"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Competizioni sportive </w:t>
            </w:r>
          </w:p>
          <w:p w14:paraId="0EC19293" w14:textId="7195EAC9" w:rsidR="0041512A" w:rsidRDefault="00697CB5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su strada</w:t>
            </w:r>
          </w:p>
        </w:tc>
        <w:tc>
          <w:tcPr>
            <w:tcW w:w="1979" w:type="dxa"/>
          </w:tcPr>
          <w:p w14:paraId="3320BFC9" w14:textId="64FDB7F9" w:rsidR="0041512A" w:rsidRPr="0041512A" w:rsidRDefault="00386898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726E7F" w:rsidRPr="002F49AE">
                <w:rPr>
                  <w:rStyle w:val="Collegamentoipertestuale"/>
                  <w:b/>
                </w:rPr>
                <w:t>Con</w:t>
              </w:r>
              <w:r w:rsidR="00726E7F" w:rsidRPr="002F49AE">
                <w:rPr>
                  <w:rStyle w:val="Collegamentoipertestuale"/>
                  <w:b/>
                </w:rPr>
                <w:t>t</w:t>
              </w:r>
              <w:r w:rsidR="00726E7F" w:rsidRPr="002F49AE">
                <w:rPr>
                  <w:rStyle w:val="Collegamentoipertestuale"/>
                  <w:b/>
                </w:rPr>
                <w:t>atti</w:t>
              </w:r>
            </w:hyperlink>
          </w:p>
        </w:tc>
      </w:tr>
      <w:tr w:rsidR="00342D58" w14:paraId="6D2CA689" w14:textId="77777777" w:rsidTr="0041512A">
        <w:tc>
          <w:tcPr>
            <w:tcW w:w="9629" w:type="dxa"/>
            <w:gridSpan w:val="3"/>
          </w:tcPr>
          <w:p w14:paraId="2A141DF8" w14:textId="5AA04D5F" w:rsidR="00F33A15" w:rsidRPr="008778D6" w:rsidRDefault="008778D6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8778D6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60CE8E34" w14:textId="77777777" w:rsidR="00697CB5" w:rsidRPr="00697CB5" w:rsidRDefault="00697CB5" w:rsidP="008778D6">
            <w:pPr>
              <w:spacing w:after="60"/>
              <w:ind w:left="164" w:right="312"/>
              <w:jc w:val="both"/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97CB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Una competizione sportiva su strada è una manifestazione di carattere agonistico svolta su aree pubbliche o su strade di uso pubblico </w:t>
            </w:r>
            <w:r w:rsidRPr="00697CB5"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begin"/>
            </w:r>
            <w:r w:rsidRPr="00697CB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instrText>HYPERLINK "http://normelombardia.consiglio.regione.lombardia.it/NormeLombardia/Accessibile/main.aspx?exp_coll=rr002006032700006&amp;view=showdoc&amp;iddoc=rr002006032700006&amp;selnode=rr002006032700006"</w:instrText>
            </w:r>
            <w:r w:rsidRPr="00697CB5"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separate"/>
            </w:r>
            <w:r w:rsidRPr="00697CB5"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t>(articolo 2 del R</w:t>
            </w:r>
            <w:r w:rsidRPr="00697CB5"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t>e</w:t>
            </w:r>
            <w:r w:rsidRPr="00697CB5"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t>golamento Regionale 27/03/2006, n. 6)</w:t>
            </w:r>
            <w:r w:rsidRPr="00697CB5"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6F325C4C" w14:textId="77777777" w:rsidR="00697CB5" w:rsidRPr="00697CB5" w:rsidRDefault="00697CB5" w:rsidP="008778D6">
            <w:pPr>
              <w:spacing w:after="6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97CB5"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end"/>
            </w:r>
            <w:r w:rsidRPr="00697CB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Il carattere agonistico dell’evento richiede la presenza di almeno una delle seguenti condizioni:</w:t>
            </w:r>
          </w:p>
          <w:p w14:paraId="7A0BAFAA" w14:textId="77777777" w:rsidR="00697CB5" w:rsidRPr="00697CB5" w:rsidRDefault="00697CB5" w:rsidP="008778D6">
            <w:pPr>
              <w:numPr>
                <w:ilvl w:val="0"/>
                <w:numId w:val="22"/>
              </w:numPr>
              <w:spacing w:after="6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97CB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esistenza di un regolamento di gara che preveda la formazione di un ordine di arrivo o di una graduatoria di merito finale, con o senza premi per i migliori classificati</w:t>
            </w:r>
          </w:p>
          <w:p w14:paraId="2D5F07DE" w14:textId="77777777" w:rsidR="00697CB5" w:rsidRPr="00697CB5" w:rsidRDefault="00697CB5" w:rsidP="008778D6">
            <w:pPr>
              <w:numPr>
                <w:ilvl w:val="0"/>
                <w:numId w:val="22"/>
              </w:numPr>
              <w:spacing w:after="6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97CB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esistenza di un regolamento di gara che fissi un tempo massimo per l'arrivo al traguardo dei partecipanti.</w:t>
            </w:r>
          </w:p>
          <w:p w14:paraId="31BD93E9" w14:textId="77777777" w:rsidR="00697CB5" w:rsidRPr="00697CB5" w:rsidRDefault="00697CB5" w:rsidP="008778D6">
            <w:pPr>
              <w:spacing w:after="6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97CB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gare sportive su strada si distinguono in:</w:t>
            </w:r>
          </w:p>
          <w:p w14:paraId="50E01754" w14:textId="77777777" w:rsidR="00697CB5" w:rsidRPr="00697CB5" w:rsidRDefault="00697CB5" w:rsidP="008778D6">
            <w:pPr>
              <w:numPr>
                <w:ilvl w:val="0"/>
                <w:numId w:val="22"/>
              </w:numPr>
              <w:spacing w:after="6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97CB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gare podistiche, ciclistiche, con animali o con veicoli a trazione animale</w:t>
            </w:r>
          </w:p>
          <w:p w14:paraId="3FEBC882" w14:textId="77777777" w:rsidR="00697CB5" w:rsidRPr="00697CB5" w:rsidRDefault="00697CB5" w:rsidP="008778D6">
            <w:pPr>
              <w:numPr>
                <w:ilvl w:val="0"/>
                <w:numId w:val="22"/>
              </w:numPr>
              <w:spacing w:after="6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97CB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gare con veicoli a motore</w:t>
            </w:r>
          </w:p>
          <w:p w14:paraId="5377F8A5" w14:textId="77777777" w:rsidR="001D73AE" w:rsidRDefault="00697CB5" w:rsidP="001D73AE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97CB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Sono escluse le manifestazioni che non comportano lo svolgersi di una gara intesa come la competizione tra due o più concorrenti o squadre impegnate a superarsi vicendevolmente e in cui non è prevista alcuna classifica.</w:t>
            </w:r>
          </w:p>
          <w:p w14:paraId="3C8AAE7A" w14:textId="77777777" w:rsidR="001D73AE" w:rsidRDefault="001D73AE" w:rsidP="001D73AE">
            <w:pPr>
              <w:ind w:left="164" w:right="312"/>
              <w:jc w:val="both"/>
              <w:rPr>
                <w:b/>
                <w:color w:val="C00000"/>
                <w:sz w:val="24"/>
                <w:szCs w:val="24"/>
              </w:rPr>
            </w:pPr>
          </w:p>
          <w:p w14:paraId="307CCB06" w14:textId="77777777" w:rsidR="008778D6" w:rsidRPr="00AB4C12" w:rsidRDefault="008778D6" w:rsidP="008778D6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23DB195E" w14:textId="0A92070A" w:rsidR="008778D6" w:rsidRPr="000A1FBF" w:rsidRDefault="008778D6" w:rsidP="008778D6">
            <w:pPr>
              <w:pStyle w:val="Paragrafoelenco"/>
              <w:numPr>
                <w:ilvl w:val="0"/>
                <w:numId w:val="24"/>
              </w:numPr>
              <w:spacing w:before="120" w:after="120" w:line="259" w:lineRule="auto"/>
              <w:ind w:left="589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405697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Requisiti ono</w:t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r</w:t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abilità</w:t>
            </w:r>
          </w:p>
          <w:p w14:paraId="2768EC7D" w14:textId="77777777" w:rsidR="008778D6" w:rsidRPr="00F73D96" w:rsidRDefault="008778D6" w:rsidP="008778D6">
            <w:pPr>
              <w:pStyle w:val="Paragrafoelenco"/>
              <w:spacing w:before="120" w:after="120"/>
              <w:ind w:left="589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7F4539DE" w14:textId="0F2C5696" w:rsidR="008778D6" w:rsidRPr="007331C5" w:rsidRDefault="008778D6" w:rsidP="008778D6">
            <w:pPr>
              <w:pStyle w:val="Paragrafoelenco"/>
              <w:widowControl w:val="0"/>
              <w:numPr>
                <w:ilvl w:val="0"/>
                <w:numId w:val="24"/>
              </w:numPr>
              <w:spacing w:after="120"/>
              <w:ind w:left="589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7331C5">
              <w:rPr>
                <w:b/>
                <w:bCs/>
                <w:color w:val="FF0000"/>
                <w:sz w:val="24"/>
                <w:szCs w:val="24"/>
                <w:u w:val="none"/>
              </w:rPr>
              <w:t xml:space="preserve">Requisiti professionali - </w:t>
            </w:r>
            <w:r w:rsidRPr="007331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Nell’esercizio, in qualsiasi forma, di un’attività </w:t>
            </w:r>
            <w:r w:rsidR="00DA70A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motoria o sportiva</w:t>
            </w:r>
            <w:r w:rsidRPr="007331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anche se effettuato nei confronti di una cerchia determinata di persone, deve essere garantita </w:t>
            </w:r>
            <w:r w:rsidRPr="007331C5">
              <w:rPr>
                <w:color w:val="auto"/>
                <w:sz w:val="20"/>
                <w:szCs w:val="20"/>
                <w:u w:val="none"/>
              </w:rPr>
              <w:t xml:space="preserve">la vigilanza da parte di personale abilitato (ISEF) </w:t>
            </w:r>
            <w:hyperlink r:id="rId7" w:history="1">
              <w:r w:rsidRPr="007331C5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 xml:space="preserve">– </w:t>
              </w:r>
              <w:r w:rsidRPr="007331C5">
                <w:rPr>
                  <w:rStyle w:val="Collegamentoipertestuale"/>
                  <w:b/>
                  <w:sz w:val="20"/>
                  <w:szCs w:val="20"/>
                  <w:u w:val="none"/>
                </w:rPr>
                <w:t>Art. 9 LR n. 26/2014.</w:t>
              </w:r>
            </w:hyperlink>
          </w:p>
          <w:p w14:paraId="1DC9FE46" w14:textId="77777777" w:rsidR="008778D6" w:rsidRPr="007331C5" w:rsidRDefault="008778D6" w:rsidP="008778D6">
            <w:pPr>
              <w:pStyle w:val="Paragrafoelenco"/>
              <w:spacing w:before="120" w:after="120" w:line="259" w:lineRule="auto"/>
              <w:ind w:left="589"/>
              <w:rPr>
                <w:b/>
                <w:bCs/>
                <w:color w:val="0000FF"/>
                <w:sz w:val="12"/>
                <w:szCs w:val="12"/>
                <w:u w:val="none"/>
              </w:rPr>
            </w:pPr>
          </w:p>
          <w:p w14:paraId="6CC5D253" w14:textId="2B9D5790" w:rsidR="008778D6" w:rsidRPr="00405697" w:rsidRDefault="00405697" w:rsidP="008778D6">
            <w:pPr>
              <w:pStyle w:val="Paragrafoelenco"/>
              <w:numPr>
                <w:ilvl w:val="0"/>
                <w:numId w:val="24"/>
              </w:numPr>
              <w:spacing w:line="259" w:lineRule="auto"/>
              <w:ind w:left="589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HYPERLINK "Definizioni/14PA%20Prescrizioni%20per%20competizioni%20sportive.pdf"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8D6" w:rsidRPr="00405697">
              <w:rPr>
                <w:rStyle w:val="Collegamentoipertestuale"/>
                <w:b/>
                <w:bCs/>
                <w:sz w:val="24"/>
                <w:szCs w:val="24"/>
              </w:rPr>
              <w:t>Prescrizioni per com</w:t>
            </w:r>
            <w:r w:rsidR="008778D6" w:rsidRPr="00405697">
              <w:rPr>
                <w:rStyle w:val="Collegamentoipertestuale"/>
                <w:b/>
                <w:bCs/>
                <w:sz w:val="24"/>
                <w:szCs w:val="24"/>
              </w:rPr>
              <w:t>p</w:t>
            </w:r>
            <w:r w:rsidR="008778D6" w:rsidRPr="00405697">
              <w:rPr>
                <w:rStyle w:val="Collegamentoipertestuale"/>
                <w:b/>
                <w:bCs/>
                <w:sz w:val="24"/>
                <w:szCs w:val="24"/>
              </w:rPr>
              <w:t>etizioni sportive</w:t>
            </w:r>
          </w:p>
          <w:p w14:paraId="2A70C2BC" w14:textId="1B6BB35E" w:rsidR="008778D6" w:rsidRDefault="00405697" w:rsidP="004B7DB4">
            <w:pPr>
              <w:spacing w:after="120"/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7D3515A" w14:textId="54B4781D" w:rsidR="00651349" w:rsidRPr="008778D6" w:rsidRDefault="002B6C24" w:rsidP="004B7DB4">
            <w:pPr>
              <w:spacing w:after="120"/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8778D6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40E4C914" w14:textId="128FE399" w:rsidR="00CB4FB4" w:rsidRPr="00CB4FB4" w:rsidRDefault="00CB4FB4" w:rsidP="00CB4FB4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CB4FB4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Chi intende attivare una </w:t>
            </w:r>
            <w:r w:rsidRPr="00CB4FB4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manifestazione sportiva su strada</w:t>
            </w:r>
            <w:r w:rsidRPr="00CB4FB4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B4FB4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deve munirsi di apposita licenza, prevista dall’art. 68 del TULPS, presentando al SUAP una </w:t>
            </w:r>
            <w:r w:rsidR="008778D6" w:rsidRPr="008778D6">
              <w:rPr>
                <w:rFonts w:eastAsia="Times New Roman"/>
                <w:b/>
                <w:color w:val="000000" w:themeColor="text1"/>
                <w:sz w:val="20"/>
                <w:szCs w:val="20"/>
                <w:u w:val="none"/>
                <w:lang w:eastAsia="it-IT"/>
              </w:rPr>
              <w:t>istanza</w:t>
            </w:r>
            <w:r w:rsidRPr="00CB4FB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.</w:t>
            </w:r>
          </w:p>
          <w:p w14:paraId="2402E6E0" w14:textId="3A247303" w:rsidR="00CB4FB4" w:rsidRPr="00CB4FB4" w:rsidRDefault="008778D6" w:rsidP="00CB4FB4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8778D6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L’istanza</w:t>
            </w:r>
            <w:r w:rsidR="00CB4FB4" w:rsidRPr="008778D6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di esercizio</w:t>
            </w:r>
            <w:r w:rsidR="00CB4FB4" w:rsidRPr="008778D6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="00CB4FB4" w:rsidRPr="00CB4F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della specifica attività sportiva deve essere</w:t>
            </w:r>
            <w:r w:rsidR="00CB4FB4" w:rsidRPr="00CB4FB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CB4FB4" w:rsidRPr="00CB4F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presentata </w:t>
            </w:r>
            <w:r w:rsidR="00CB4FB4" w:rsidRPr="00CB4FB4">
              <w:rPr>
                <w:color w:val="auto"/>
                <w:sz w:val="20"/>
                <w:szCs w:val="20"/>
                <w:u w:val="none"/>
              </w:rPr>
              <w:t>mediante lo sportello telematico</w:t>
            </w:r>
            <w:r w:rsidR="00AD5E57">
              <w:rPr>
                <w:color w:val="auto"/>
                <w:sz w:val="20"/>
                <w:szCs w:val="20"/>
                <w:u w:val="none"/>
              </w:rPr>
              <w:t xml:space="preserve"> </w:t>
            </w:r>
            <w:hyperlink r:id="rId8" w:history="1">
              <w:r w:rsidR="00E652C4" w:rsidRPr="00367834">
                <w:rPr>
                  <w:rStyle w:val="Collegamentoipertestuale"/>
                  <w:b/>
                  <w:sz w:val="20"/>
                  <w:szCs w:val="20"/>
                </w:rPr>
                <w:t>Impresainungior</w:t>
              </w:r>
              <w:r w:rsidR="00E652C4" w:rsidRPr="00367834">
                <w:rPr>
                  <w:rStyle w:val="Collegamentoipertestuale"/>
                  <w:b/>
                  <w:sz w:val="20"/>
                  <w:szCs w:val="20"/>
                </w:rPr>
                <w:t>n</w:t>
              </w:r>
              <w:r w:rsidR="00E652C4" w:rsidRPr="00367834">
                <w:rPr>
                  <w:rStyle w:val="Collegamentoipertestuale"/>
                  <w:b/>
                  <w:sz w:val="20"/>
                  <w:szCs w:val="20"/>
                </w:rPr>
                <w:t>o.gov.it</w:t>
              </w:r>
            </w:hyperlink>
          </w:p>
          <w:p w14:paraId="1E5FD45A" w14:textId="7730BBF7" w:rsidR="00CB4FB4" w:rsidRPr="00CB4FB4" w:rsidRDefault="00CB4FB4" w:rsidP="00114E08">
            <w:pPr>
              <w:spacing w:after="24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B4FB4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493235"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</w:t>
            </w:r>
            <w:r w:rsidR="008778D6">
              <w:rPr>
                <w:b/>
                <w:color w:val="auto"/>
                <w:sz w:val="20"/>
                <w:szCs w:val="20"/>
                <w:u w:val="none"/>
              </w:rPr>
              <w:t xml:space="preserve"> (Ateco da 90 a 93)</w:t>
            </w:r>
            <w:r w:rsidRPr="00CB4FB4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493235">
              <w:rPr>
                <w:b/>
                <w:color w:val="auto"/>
                <w:sz w:val="20"/>
                <w:szCs w:val="20"/>
                <w:u w:val="none"/>
              </w:rPr>
              <w:t>Attività</w:t>
            </w:r>
            <w:r w:rsidRPr="00CB4FB4">
              <w:rPr>
                <w:b/>
                <w:color w:val="auto"/>
                <w:sz w:val="20"/>
                <w:szCs w:val="20"/>
                <w:u w:val="none"/>
              </w:rPr>
              <w:t xml:space="preserve"> sportive + </w:t>
            </w:r>
            <w:r w:rsidRPr="00CB4FB4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Manifestazione sportiva in locali/impianti</w:t>
            </w:r>
            <w:r w:rsidRPr="00CB4FB4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, </w:t>
            </w:r>
            <w:r w:rsidRPr="00CB4FB4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CB4FB4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CB4FB4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CB4FB4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CB4FB4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CB4FB4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CB4F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CB4FB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 Aprire l’attività + Licenza per manifestazione sportiva</w:t>
            </w:r>
            <w:r w:rsidRPr="00CB4F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2D137AF5" w14:textId="78BBC57C" w:rsidR="00764B7D" w:rsidRPr="00405697" w:rsidRDefault="00764B7D" w:rsidP="00114E08">
            <w:pPr>
              <w:spacing w:after="240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764B7D">
              <w:rPr>
                <w:color w:val="auto"/>
                <w:sz w:val="20"/>
                <w:szCs w:val="20"/>
                <w:u w:val="none"/>
              </w:rPr>
              <w:t>Per abbinare l’attività complementare di somministrazione alimenti e bevande occorre osservare le seguenti indicazioni</w:t>
            </w:r>
            <w:r w:rsidRPr="00764B7D">
              <w:rPr>
                <w:sz w:val="20"/>
                <w:szCs w:val="20"/>
                <w:u w:val="none"/>
              </w:rPr>
              <w:t xml:space="preserve">: </w:t>
            </w:r>
            <w:r w:rsidR="00405697">
              <w:rPr>
                <w:b/>
                <w:sz w:val="20"/>
                <w:szCs w:val="20"/>
              </w:rPr>
              <w:fldChar w:fldCharType="begin"/>
            </w:r>
            <w:r w:rsidR="00405697">
              <w:rPr>
                <w:b/>
                <w:sz w:val="20"/>
                <w:szCs w:val="20"/>
              </w:rPr>
              <w:instrText xml:space="preserve"> HYPERLINK "../4%20Settore%20Pubblici%20esercizi/PE2%20Somministrazione%20non%20programmata.docx" </w:instrText>
            </w:r>
            <w:r w:rsidR="00405697">
              <w:rPr>
                <w:b/>
                <w:sz w:val="20"/>
                <w:szCs w:val="20"/>
              </w:rPr>
              <w:fldChar w:fldCharType="separate"/>
            </w:r>
            <w:r w:rsidRPr="00405697">
              <w:rPr>
                <w:rStyle w:val="Collegamentoipertestuale"/>
                <w:b/>
                <w:sz w:val="20"/>
                <w:szCs w:val="20"/>
              </w:rPr>
              <w:t>Somministr</w:t>
            </w:r>
            <w:r w:rsidRPr="00405697">
              <w:rPr>
                <w:rStyle w:val="Collegamentoipertestuale"/>
                <w:b/>
                <w:sz w:val="20"/>
                <w:szCs w:val="20"/>
              </w:rPr>
              <w:t>a</w:t>
            </w:r>
            <w:r w:rsidRPr="00405697">
              <w:rPr>
                <w:rStyle w:val="Collegamentoipertestuale"/>
                <w:b/>
                <w:sz w:val="20"/>
                <w:szCs w:val="20"/>
              </w:rPr>
              <w:t>zione libera</w:t>
            </w:r>
          </w:p>
          <w:p w14:paraId="1E412454" w14:textId="73EBA908" w:rsidR="00114E08" w:rsidRDefault="00405697" w:rsidP="00F538C9">
            <w:pPr>
              <w:spacing w:before="120"/>
              <w:ind w:left="164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114E08" w:rsidRPr="00D83CEA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="00114E08" w:rsidRPr="00CB4FB4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="00114E08" w:rsidRPr="00CB4F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Trattandosi di manifestazione circoscritta in un arco di tempo non si rileva la possibilità di </w:t>
            </w:r>
            <w:r w:rsidR="00114E08" w:rsidRPr="00CB4FB4">
              <w:rPr>
                <w:color w:val="auto"/>
                <w:sz w:val="20"/>
                <w:szCs w:val="20"/>
                <w:u w:val="none"/>
              </w:rPr>
              <w:t>modifiche</w:t>
            </w:r>
            <w:r w:rsidR="00114E08" w:rsidRPr="00CB4F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struttura o societarie</w:t>
            </w:r>
            <w:r w:rsidR="00114E0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e la </w:t>
            </w:r>
            <w:bookmarkStart w:id="0" w:name="_Hlk500943583"/>
            <w:r w:rsidR="00114E08" w:rsidRPr="00CB4F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cessazione è automatica allo scadere del termine concesso per lo svolgimento</w:t>
            </w:r>
            <w:r w:rsidR="00114E0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  <w:bookmarkEnd w:id="0"/>
            <w:r w:rsidR="00114E08" w:rsidRPr="00E61C9E">
              <w:rPr>
                <w:rFonts w:eastAsia="Times New Roman"/>
                <w:b/>
                <w:color w:val="C00000"/>
                <w:u w:val="none"/>
                <w:lang w:eastAsia="it-IT"/>
              </w:rPr>
              <w:t xml:space="preserve">  </w:t>
            </w:r>
          </w:p>
          <w:p w14:paraId="6E8907AD" w14:textId="77777777" w:rsidR="00114E08" w:rsidRDefault="00114E08" w:rsidP="00114E08">
            <w:pPr>
              <w:ind w:left="164" w:right="312"/>
              <w:jc w:val="both"/>
            </w:pPr>
          </w:p>
          <w:p w14:paraId="366C05ED" w14:textId="0F2E4441" w:rsidR="00F538C9" w:rsidRPr="00F538C9" w:rsidRDefault="00386898" w:rsidP="00114E08">
            <w:pPr>
              <w:ind w:left="164" w:right="312"/>
              <w:jc w:val="both"/>
              <w:rPr>
                <w:b/>
                <w:bCs/>
              </w:rPr>
            </w:pPr>
            <w:hyperlink r:id="rId9" w:history="1">
              <w:r w:rsidR="00F538C9" w:rsidRPr="00F538C9">
                <w:rPr>
                  <w:rStyle w:val="Collegamentoipertestuale"/>
                  <w:b/>
                  <w:bCs/>
                </w:rPr>
                <w:t>Alleg</w:t>
              </w:r>
              <w:r w:rsidR="00F538C9" w:rsidRPr="00F538C9">
                <w:rPr>
                  <w:rStyle w:val="Collegamentoipertestuale"/>
                  <w:b/>
                  <w:bCs/>
                </w:rPr>
                <w:t>a</w:t>
              </w:r>
              <w:r w:rsidR="00F538C9" w:rsidRPr="00F538C9">
                <w:rPr>
                  <w:rStyle w:val="Collegamentoipertestuale"/>
                  <w:b/>
                  <w:bCs/>
                </w:rPr>
                <w:t>ti</w:t>
              </w:r>
            </w:hyperlink>
          </w:p>
          <w:p w14:paraId="3F60DBF0" w14:textId="77777777" w:rsidR="00F538C9" w:rsidRDefault="00F538C9" w:rsidP="00114E08">
            <w:pPr>
              <w:ind w:left="164" w:right="312"/>
              <w:jc w:val="both"/>
            </w:pPr>
          </w:p>
          <w:p w14:paraId="1A1923C7" w14:textId="0353C2B2" w:rsidR="00114E08" w:rsidRPr="00744B7C" w:rsidRDefault="00386898" w:rsidP="00114E08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0" w:history="1">
              <w:r w:rsidR="00114E08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</w:t>
              </w:r>
              <w:r w:rsidR="00114E08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 </w:t>
              </w:r>
              <w:r w:rsidR="00114E08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ATECO</w:t>
              </w:r>
            </w:hyperlink>
            <w:r w:rsidR="00114E08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114E08">
              <w:rPr>
                <w:b/>
                <w:color w:val="auto"/>
                <w:sz w:val="20"/>
                <w:szCs w:val="20"/>
                <w:u w:val="none"/>
              </w:rPr>
              <w:t>(Ateco da 90 a 93)</w:t>
            </w:r>
          </w:p>
          <w:p w14:paraId="517E4742" w14:textId="77777777" w:rsidR="00114E08" w:rsidRDefault="00114E08" w:rsidP="00114E08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74809121" w14:textId="2E14A2DB" w:rsidR="00114E08" w:rsidRPr="00A960D3" w:rsidRDefault="00114E08" w:rsidP="00114E08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405697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</w:t>
            </w:r>
            <w:r w:rsidRPr="00A960D3">
              <w:rPr>
                <w:rStyle w:val="Collegamentoipertestuale"/>
                <w:b/>
                <w:bCs/>
              </w:rPr>
              <w:t>u</w:t>
            </w:r>
            <w:r w:rsidRPr="00A960D3">
              <w:rPr>
                <w:rStyle w:val="Collegamentoipertestuale"/>
                <w:b/>
                <w:bCs/>
              </w:rPr>
              <w:t>ttori</w:t>
            </w:r>
          </w:p>
          <w:p w14:paraId="034C9D3F" w14:textId="77777777" w:rsidR="00114E08" w:rsidRDefault="00114E08" w:rsidP="00114E08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2D392FE9" w14:textId="77777777" w:rsidR="00114E08" w:rsidRPr="00042B0E" w:rsidRDefault="00114E08" w:rsidP="00114E08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65626B84" w14:textId="77777777" w:rsidR="00F538C9" w:rsidRDefault="00F538C9" w:rsidP="00114E08">
            <w:pPr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6A302661" w14:textId="77777777" w:rsidR="00F538C9" w:rsidRDefault="00F538C9" w:rsidP="00114E08">
            <w:pPr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5C20D833" w14:textId="0BC39B79" w:rsidR="00114E08" w:rsidRPr="00CB4FB4" w:rsidRDefault="00114E08" w:rsidP="00114E08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C26EA">
              <w:rPr>
                <w:b/>
                <w:color w:val="C00000"/>
                <w:u w:val="none"/>
              </w:rPr>
              <w:t xml:space="preserve">Tempistica – </w:t>
            </w:r>
            <w:r>
              <w:rPr>
                <w:color w:val="auto"/>
                <w:sz w:val="20"/>
                <w:szCs w:val="20"/>
                <w:u w:val="none"/>
              </w:rPr>
              <w:t>L’istanza</w:t>
            </w:r>
            <w:r w:rsidRPr="00CB4FB4">
              <w:rPr>
                <w:color w:val="auto"/>
                <w:sz w:val="20"/>
                <w:szCs w:val="20"/>
                <w:u w:val="none"/>
              </w:rPr>
              <w:t xml:space="preserve"> deve essere presentata 30 giorni prima dello svolgimento della manifestazione unitamente ai Nulla Osta degli enti proprietari delle strade. </w:t>
            </w:r>
          </w:p>
          <w:p w14:paraId="7312FA99" w14:textId="77777777" w:rsidR="00114E08" w:rsidRPr="00CB4FB4" w:rsidRDefault="00114E08" w:rsidP="00114E08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CB4FB4">
              <w:rPr>
                <w:color w:val="auto"/>
                <w:sz w:val="20"/>
                <w:szCs w:val="20"/>
                <w:u w:val="none"/>
              </w:rPr>
              <w:t>Il provvedimento di diniego della licenza è adottato almeno sette giorni prima di quello per il quale è programmata la competizione.</w:t>
            </w:r>
          </w:p>
          <w:p w14:paraId="3A24AE7A" w14:textId="77777777" w:rsidR="00114E08" w:rsidRPr="00CB4FB4" w:rsidRDefault="00114E08" w:rsidP="00114E08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CB4FB4">
              <w:rPr>
                <w:color w:val="auto"/>
                <w:sz w:val="20"/>
                <w:szCs w:val="20"/>
                <w:u w:val="none"/>
              </w:rPr>
              <w:t>L’eventuale diniego della licenza è motivato unicamente da esigenze di sicurezza della circolazione, da valutazioni in merito all’ordine o all’incolumità pubblici ovvero dalla concomitanza con altra manifestazione.</w:t>
            </w:r>
          </w:p>
          <w:p w14:paraId="2C465191" w14:textId="77777777" w:rsidR="00114E08" w:rsidRPr="00CB4FB4" w:rsidRDefault="00114E08" w:rsidP="00114E08">
            <w:pPr>
              <w:autoSpaceDE w:val="0"/>
              <w:autoSpaceDN w:val="0"/>
              <w:adjustRightInd w:val="0"/>
              <w:spacing w:after="24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CB4FB4">
              <w:rPr>
                <w:color w:val="auto"/>
                <w:sz w:val="20"/>
                <w:szCs w:val="20"/>
                <w:u w:val="none"/>
              </w:rPr>
              <w:t>L’efficacia della licenza è subordinata all’emanazione dell’ordinanza di chiusura delle strade e di limitazione della circolazione ai sensi dell’articolo 6, comma 1, e/o dell’articolo 7, comma 1, del d.lgs. 285/1992, in mancanza della quale la gara non può avere luogo.</w:t>
            </w:r>
          </w:p>
          <w:p w14:paraId="2F10F510" w14:textId="11458E32" w:rsidR="00F340F5" w:rsidRPr="00945B26" w:rsidRDefault="00386898" w:rsidP="00F340F5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1" w:history="1">
              <w:r w:rsidR="00114E08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114E08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114E08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114E08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114E08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2" w:history="1">
              <w:r w:rsidR="00F340F5" w:rsidRPr="00FF4DCB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F340F5" w:rsidRPr="00FF4DCB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F340F5" w:rsidRPr="00FF4DCB">
                <w:rPr>
                  <w:rStyle w:val="Collegamentoipertestuale"/>
                  <w:b/>
                  <w:sz w:val="20"/>
                  <w:szCs w:val="20"/>
                </w:rPr>
                <w:t>rte 5^</w:t>
              </w:r>
            </w:hyperlink>
            <w:r w:rsidR="00F340F5" w:rsidRPr="00945B26">
              <w:rPr>
                <w:color w:val="0000FF"/>
                <w:sz w:val="20"/>
                <w:szCs w:val="20"/>
              </w:rPr>
              <w:t xml:space="preserve"> </w:t>
            </w:r>
            <w:r w:rsidR="00F340F5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F340F5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2AB53AA5" w14:textId="77777777" w:rsidR="00114E08" w:rsidRPr="00D84657" w:rsidRDefault="00114E08" w:rsidP="00114E08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05979334" w14:textId="77777777" w:rsidR="00114E08" w:rsidRPr="00697CB5" w:rsidRDefault="00114E08" w:rsidP="00114E08">
            <w:pPr>
              <w:spacing w:after="120"/>
              <w:ind w:left="164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A0078C">
              <w:rPr>
                <w:color w:val="C00000"/>
                <w:u w:val="none"/>
              </w:rPr>
              <w:t xml:space="preserve"> </w:t>
            </w:r>
            <w:r w:rsidRPr="00697CB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Per ulteriori informazioni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sulla sicurezza </w:t>
            </w:r>
            <w:r w:rsidRPr="00697CB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consulta il</w:t>
            </w:r>
            <w:r w:rsidRPr="00697CB5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 xml:space="preserve"> </w:t>
            </w:r>
            <w:hyperlink r:id="rId13" w:tgtFrame="_blank" w:history="1">
              <w:r w:rsidRPr="00697CB5">
                <w:rPr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sito di</w:t>
              </w:r>
              <w:r w:rsidRPr="00697CB5">
                <w:rPr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 xml:space="preserve"> </w:t>
              </w:r>
              <w:r w:rsidRPr="00697CB5">
                <w:rPr>
                  <w:rFonts w:eastAsia="Times New Roman"/>
                  <w:b/>
                  <w:color w:val="0000FF"/>
                  <w:sz w:val="20"/>
                  <w:szCs w:val="20"/>
                  <w:u w:val="none"/>
                  <w:lang w:eastAsia="it-IT"/>
                </w:rPr>
                <w:t>AREU</w:t>
              </w:r>
            </w:hyperlink>
            <w:r w:rsidRPr="00697CB5">
              <w:rPr>
                <w:rFonts w:eastAsia="Times New Roman"/>
                <w:sz w:val="20"/>
                <w:szCs w:val="20"/>
                <w:u w:val="none"/>
                <w:lang w:eastAsia="it-IT"/>
              </w:rPr>
              <w:t>.</w:t>
            </w:r>
          </w:p>
          <w:p w14:paraId="015D23A2" w14:textId="3D90BEB3" w:rsidR="00276654" w:rsidRPr="0041512A" w:rsidRDefault="00276654" w:rsidP="0090382A">
            <w:pPr>
              <w:pStyle w:val="Paragrafoelenco"/>
              <w:tabs>
                <w:tab w:val="left" w:pos="731"/>
              </w:tabs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64FDC7CF" w14:textId="77777777" w:rsidR="00342D58" w:rsidRDefault="00342D58">
      <w:pPr>
        <w:rPr>
          <w:b/>
        </w:rPr>
      </w:pPr>
    </w:p>
    <w:p w14:paraId="76E7471B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25743"/>
    <w:multiLevelType w:val="hybridMultilevel"/>
    <w:tmpl w:val="EB360A60"/>
    <w:lvl w:ilvl="0" w:tplc="436E47B0">
      <w:start w:val="1"/>
      <w:numFmt w:val="decimal"/>
      <w:lvlText w:val="%1."/>
      <w:lvlJc w:val="left"/>
      <w:pPr>
        <w:ind w:left="884" w:hanging="360"/>
      </w:pPr>
      <w:rPr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D3454"/>
    <w:multiLevelType w:val="hybridMultilevel"/>
    <w:tmpl w:val="7CFAE664"/>
    <w:lvl w:ilvl="0" w:tplc="3B4C6352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35332"/>
    <w:multiLevelType w:val="hybridMultilevel"/>
    <w:tmpl w:val="F0628170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2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3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2"/>
  </w:num>
  <w:num w:numId="5">
    <w:abstractNumId w:val="1"/>
  </w:num>
  <w:num w:numId="6">
    <w:abstractNumId w:val="19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  <w:num w:numId="14">
    <w:abstractNumId w:val="20"/>
  </w:num>
  <w:num w:numId="15">
    <w:abstractNumId w:val="13"/>
  </w:num>
  <w:num w:numId="16">
    <w:abstractNumId w:val="9"/>
  </w:num>
  <w:num w:numId="17">
    <w:abstractNumId w:val="23"/>
  </w:num>
  <w:num w:numId="18">
    <w:abstractNumId w:val="14"/>
  </w:num>
  <w:num w:numId="19">
    <w:abstractNumId w:val="4"/>
  </w:num>
  <w:num w:numId="20">
    <w:abstractNumId w:val="16"/>
  </w:num>
  <w:num w:numId="21">
    <w:abstractNumId w:val="17"/>
  </w:num>
  <w:num w:numId="22">
    <w:abstractNumId w:val="21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71B68"/>
    <w:rsid w:val="000E4B7E"/>
    <w:rsid w:val="000F3ADF"/>
    <w:rsid w:val="00112873"/>
    <w:rsid w:val="00112DB0"/>
    <w:rsid w:val="00114E08"/>
    <w:rsid w:val="00117F1E"/>
    <w:rsid w:val="0012159E"/>
    <w:rsid w:val="001D73AE"/>
    <w:rsid w:val="00214FF5"/>
    <w:rsid w:val="002210DE"/>
    <w:rsid w:val="0023487B"/>
    <w:rsid w:val="00237016"/>
    <w:rsid w:val="00276654"/>
    <w:rsid w:val="00281114"/>
    <w:rsid w:val="00293334"/>
    <w:rsid w:val="002A5D7C"/>
    <w:rsid w:val="002A6285"/>
    <w:rsid w:val="002A77E8"/>
    <w:rsid w:val="002B375D"/>
    <w:rsid w:val="002B6C24"/>
    <w:rsid w:val="002E5C7E"/>
    <w:rsid w:val="003271FA"/>
    <w:rsid w:val="00342D58"/>
    <w:rsid w:val="003514C2"/>
    <w:rsid w:val="00386898"/>
    <w:rsid w:val="003A148C"/>
    <w:rsid w:val="003A4A32"/>
    <w:rsid w:val="003C5FBA"/>
    <w:rsid w:val="003F41B0"/>
    <w:rsid w:val="00405697"/>
    <w:rsid w:val="0041512A"/>
    <w:rsid w:val="004257E1"/>
    <w:rsid w:val="0044342C"/>
    <w:rsid w:val="0045341A"/>
    <w:rsid w:val="004704B5"/>
    <w:rsid w:val="00493235"/>
    <w:rsid w:val="00493BD0"/>
    <w:rsid w:val="004B3C68"/>
    <w:rsid w:val="004B7DB4"/>
    <w:rsid w:val="004C0EB1"/>
    <w:rsid w:val="004F3CF0"/>
    <w:rsid w:val="004F59C5"/>
    <w:rsid w:val="004F667B"/>
    <w:rsid w:val="00506E58"/>
    <w:rsid w:val="005930C1"/>
    <w:rsid w:val="005C01FD"/>
    <w:rsid w:val="005C68B2"/>
    <w:rsid w:val="005C720B"/>
    <w:rsid w:val="005E5880"/>
    <w:rsid w:val="005F1CCE"/>
    <w:rsid w:val="00621A5C"/>
    <w:rsid w:val="00621E64"/>
    <w:rsid w:val="00640813"/>
    <w:rsid w:val="00645E55"/>
    <w:rsid w:val="00651349"/>
    <w:rsid w:val="00651378"/>
    <w:rsid w:val="00681637"/>
    <w:rsid w:val="00692827"/>
    <w:rsid w:val="00694BB5"/>
    <w:rsid w:val="00697CB5"/>
    <w:rsid w:val="006B29D2"/>
    <w:rsid w:val="006B3A13"/>
    <w:rsid w:val="006C339B"/>
    <w:rsid w:val="006C7151"/>
    <w:rsid w:val="006E08B5"/>
    <w:rsid w:val="006E2A43"/>
    <w:rsid w:val="00705665"/>
    <w:rsid w:val="00714EBD"/>
    <w:rsid w:val="00726E7F"/>
    <w:rsid w:val="00737DA2"/>
    <w:rsid w:val="00746376"/>
    <w:rsid w:val="00757EC8"/>
    <w:rsid w:val="00764B7D"/>
    <w:rsid w:val="007D29FA"/>
    <w:rsid w:val="0082478D"/>
    <w:rsid w:val="00872D0F"/>
    <w:rsid w:val="008756FA"/>
    <w:rsid w:val="008778D6"/>
    <w:rsid w:val="00897F79"/>
    <w:rsid w:val="009025A0"/>
    <w:rsid w:val="0090382A"/>
    <w:rsid w:val="00945B26"/>
    <w:rsid w:val="0097516F"/>
    <w:rsid w:val="009A4645"/>
    <w:rsid w:val="009C0F33"/>
    <w:rsid w:val="009D00A5"/>
    <w:rsid w:val="00A06B50"/>
    <w:rsid w:val="00A123BB"/>
    <w:rsid w:val="00A602F5"/>
    <w:rsid w:val="00A84893"/>
    <w:rsid w:val="00AD5E57"/>
    <w:rsid w:val="00B0731C"/>
    <w:rsid w:val="00B52089"/>
    <w:rsid w:val="00B5605C"/>
    <w:rsid w:val="00B66F7C"/>
    <w:rsid w:val="00BF42AE"/>
    <w:rsid w:val="00BF5221"/>
    <w:rsid w:val="00C459E8"/>
    <w:rsid w:val="00C73326"/>
    <w:rsid w:val="00C75D34"/>
    <w:rsid w:val="00C9233E"/>
    <w:rsid w:val="00CB4FB4"/>
    <w:rsid w:val="00CD592E"/>
    <w:rsid w:val="00CE16FB"/>
    <w:rsid w:val="00CE3956"/>
    <w:rsid w:val="00CF2C56"/>
    <w:rsid w:val="00D16B5E"/>
    <w:rsid w:val="00D46D3D"/>
    <w:rsid w:val="00D5625E"/>
    <w:rsid w:val="00D83CEA"/>
    <w:rsid w:val="00DA70A9"/>
    <w:rsid w:val="00DC5DC3"/>
    <w:rsid w:val="00DD2BE3"/>
    <w:rsid w:val="00DF0435"/>
    <w:rsid w:val="00E25843"/>
    <w:rsid w:val="00E61C9E"/>
    <w:rsid w:val="00E652C4"/>
    <w:rsid w:val="00E660BB"/>
    <w:rsid w:val="00E96861"/>
    <w:rsid w:val="00EB1403"/>
    <w:rsid w:val="00EE371A"/>
    <w:rsid w:val="00F07CBF"/>
    <w:rsid w:val="00F2381A"/>
    <w:rsid w:val="00F312D0"/>
    <w:rsid w:val="00F33A15"/>
    <w:rsid w:val="00F340F5"/>
    <w:rsid w:val="00F538C9"/>
    <w:rsid w:val="00F724EE"/>
    <w:rsid w:val="00FB3518"/>
    <w:rsid w:val="00FD7E4D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6E75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web/guest/comune?codCatastale=L581" TargetMode="External"/><Relationship Id="rId13" Type="http://schemas.openxmlformats.org/officeDocument/2006/relationships/hyperlink" Target="https://www.areu.lombardia.it/web/home/eventi-e-manifestazio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rmelombardia.consiglio.regione.lombardia.it/NormeLombardia/Accessibile/main.aspx?exp_coll=lr002014100100026&amp;view=showdoc&amp;iddoc=lr002014100100026&amp;selnode=lr002014100100026" TargetMode="External"/><Relationship Id="rId12" Type="http://schemas.openxmlformats.org/officeDocument/2006/relationships/hyperlink" Target="../../TUR/Parte%205%5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file:///C:\Walter\sportello%20unico\Progetto%20PUC\PUC\5%20Procedimenti\Definizioni\Riferimenti%20normativi%20e%20di%20controllo.docx" TargetMode="External"/><Relationship Id="rId5" Type="http://schemas.openxmlformats.org/officeDocument/2006/relationships/hyperlink" Target="file:///C:\Walter\sportello%20unico\Progetto%20PUC\PROCEDIMENTI\PROCEDIMENTI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../../ATECO/Ateco%20Arte_Sport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llegati/PA22-23%20Competizioni%20sportive%20su%20strada%20-%20Copi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36</cp:revision>
  <dcterms:created xsi:type="dcterms:W3CDTF">2018-07-28T14:46:00Z</dcterms:created>
  <dcterms:modified xsi:type="dcterms:W3CDTF">2021-05-12T08:31:00Z</dcterms:modified>
</cp:coreProperties>
</file>